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Unresolved Questions Log</w:t>
      </w:r>
    </w:p>
    <w:p>
      <w:r>
        <w:t>FICTIONAL SAMPLE - Harrison Studio and Example Works. Not an executed instrument or actual evidence.</w:t>
      </w:r>
    </w:p>
    <w:p>
      <w:r>
        <w:t>Record date: 2026-06-27 | Matter: Harrison commercial dispute</w:t>
      </w:r>
    </w:p>
    <w:p>
      <w:pPr>
        <w:pStyle w:val="Heading1"/>
      </w:pPr>
      <w:r>
        <w:t>Record summary</w:t>
      </w:r>
    </w:p>
    <w:p>
      <w:r>
        <w:t>The early-start explanation and missing signed variation are unresolved. Financial schedules contain illustrative inputs rather than proven loss amounts.</w:t>
      </w:r>
    </w:p>
    <w:p>
      <w:pPr>
        <w:pStyle w:val="Heading1"/>
      </w:pPr>
      <w:r>
        <w:t>Review and follow up</w:t>
      </w:r>
    </w:p>
    <w:p>
      <w:r>
        <w:t>Keep questions open until a supporting record or documented explanation is added. Record any correction as a new version with its own fingerprint.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HS-DOC-015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