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Services Agreement</w:t>
      </w:r>
    </w:p>
    <w:p>
      <w:r>
        <w:t>FICTIONAL SAMPLE - Harrison Studio and Example Works. Not an executed instrument or actual evidence.</w:t>
      </w:r>
    </w:p>
    <w:p>
      <w:r>
        <w:t>Record date: 2026-06-01 | Matter: Harrison commercial dispute</w:t>
      </w:r>
    </w:p>
    <w:p>
      <w:pPr>
        <w:pStyle w:val="Heading1"/>
      </w:pPr>
      <w:r>
        <w:t>Record summary</w:t>
      </w:r>
    </w:p>
    <w:p>
      <w:r>
        <w:t>Scheduled start: 15 June 2026. The office refurbishment covers reception flooring, meeting-room ceiling tiles and internal doorway finishes. The sample contract price is CAD 48000 before tax.</w:t>
      </w:r>
    </w:p>
    <w:p>
      <w:pPr>
        <w:pStyle w:val="Heading1"/>
      </w:pPr>
      <w:r>
        <w:t>Review and follow up</w:t>
      </w:r>
    </w:p>
    <w:p>
      <w:r>
        <w:t>Variations require written approval. No signed variation is included in this sample. Compare the reported early start against the agreed programme.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HS-DOC-001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