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Client Start Date Account</w:t>
      </w:r>
    </w:p>
    <w:p>
      <w:r>
        <w:t>FICTIONAL SAMPLE - Harrison Studio and Example Works. Not an executed instrument or actual evidence.</w:t>
      </w:r>
    </w:p>
    <w:p>
      <w:r>
        <w:t>Record date: 2026-06-13 | Matter: Harrison commercial dispute</w:t>
      </w:r>
    </w:p>
    <w:p>
      <w:pPr>
        <w:pStyle w:val="Heading1"/>
      </w:pPr>
      <w:r>
        <w:t>Record summary</w:t>
      </w:r>
    </w:p>
    <w:p>
      <w:r>
        <w:t>Work began on 12 June 2026. The client describes floor protection, material delivery and removal of reception fittings on that day.</w:t>
      </w:r>
    </w:p>
    <w:p>
      <w:pPr>
        <w:pStyle w:val="Heading1"/>
      </w:pPr>
      <w:r>
        <w:t>Review and follow up</w:t>
      </w:r>
    </w:p>
    <w:p>
      <w:r>
        <w:t>Please see the signed variation attached. The referenced attachment was not supplied with the sample account. Ask whether the early activity was enabling work.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HS-DOC-002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