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Expert Inspection Instructions</w:t>
      </w:r>
    </w:p>
    <w:p>
      <w:r>
        <w:t>FICTIONAL SAMPLE - Harrison Studio and Example Works. Not an executed instrument or actual evidence.</w:t>
      </w:r>
    </w:p>
    <w:p>
      <w:r>
        <w:t>Record date: 2026-06-23 | Matter: Harrison commercial dispute</w:t>
      </w:r>
    </w:p>
    <w:p>
      <w:pPr>
        <w:pStyle w:val="Heading1"/>
      </w:pPr>
      <w:r>
        <w:t>Record summary</w:t>
      </w:r>
    </w:p>
    <w:p>
      <w:r>
        <w:t>Inspect floor transitions, ceiling access and doorway finishes. Separate observed conditions from opinions about cause and responsibility.</w:t>
      </w:r>
    </w:p>
    <w:p>
      <w:pPr>
        <w:pStyle w:val="Heading1"/>
      </w:pPr>
      <w:r>
        <w:t>Review and follow up</w:t>
      </w:r>
    </w:p>
    <w:p>
      <w:r>
        <w:t>Request measurements and original site images. The synthetic images in this package demonstrate file organisation only and cannot support a condition opinion.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HS-DOC-011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